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F2" w:rsidRPr="005837F2" w:rsidRDefault="005837F2" w:rsidP="005837F2">
      <w:pPr>
        <w:pStyle w:val="NormalWeb"/>
        <w:shd w:val="clear" w:color="auto" w:fill="FFFFFF"/>
        <w:tabs>
          <w:tab w:val="left" w:pos="3569"/>
        </w:tabs>
        <w:spacing w:before="0" w:beforeAutospacing="0" w:after="0" w:afterAutospacing="0"/>
        <w:ind w:firstLine="567"/>
        <w:jc w:val="both"/>
        <w:rPr>
          <w:b/>
          <w:color w:val="232323"/>
          <w:sz w:val="44"/>
          <w:szCs w:val="44"/>
          <w:bdr w:val="none" w:sz="0" w:space="0" w:color="auto" w:frame="1"/>
        </w:rPr>
      </w:pPr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ab/>
      </w:r>
      <w:r w:rsidRPr="005837F2">
        <w:rPr>
          <w:b/>
          <w:color w:val="232323"/>
          <w:sz w:val="44"/>
          <w:szCs w:val="44"/>
          <w:bdr w:val="none" w:sz="0" w:space="0" w:color="auto" w:frame="1"/>
        </w:rPr>
        <w:t>ATENȚIE!</w:t>
      </w:r>
    </w:p>
    <w:p w:rsidR="005837F2" w:rsidRDefault="005837F2" w:rsidP="005837F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</w:pPr>
    </w:p>
    <w:p w:rsidR="005837F2" w:rsidRDefault="005837F2" w:rsidP="005837F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</w:pPr>
    </w:p>
    <w:p w:rsidR="005837F2" w:rsidRDefault="005837F2" w:rsidP="005837F2">
      <w:pPr>
        <w:ind w:firstLine="567"/>
        <w:jc w:val="both"/>
      </w:pPr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GĂZDUITORUL are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obligația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de a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informa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funcționarul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evidență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persoanelor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privire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la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faptul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că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IMOBILUL A FOST NOTIFICAT ÎN CARTEA </w:t>
      </w:r>
      <w:proofErr w:type="gram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>FUNCIARĂ  CA</w:t>
      </w:r>
      <w:proofErr w:type="gram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  LOCUINȚĂ A FAMILIEI.</w:t>
      </w:r>
    </w:p>
    <w:p w:rsidR="005837F2" w:rsidRDefault="005837F2" w:rsidP="005837F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Nunito Sans" w:hAnsi="Nunito Sans"/>
          <w:color w:val="232323"/>
          <w:sz w:val="27"/>
          <w:szCs w:val="27"/>
        </w:rPr>
      </w:pP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În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conformitate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cu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d</w:t>
      </w:r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ispozițiile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art. 321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alin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(1) din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noul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Cod civil </w:t>
      </w:r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se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stabilesc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norme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privind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 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bdr w:val="none" w:sz="0" w:space="0" w:color="auto" w:frame="1"/>
        </w:rPr>
        <w:t>locuința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bdr w:val="none" w:sz="0" w:space="0" w:color="auto" w:frame="1"/>
        </w:rPr>
        <w:t>familiei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bdr w:val="none" w:sz="0" w:space="0" w:color="auto" w:frame="1"/>
        </w:rPr>
        <w:t>, 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în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sensul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că</w:t>
      </w:r>
      <w:proofErr w:type="spellEnd"/>
      <w:proofErr w:type="gram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 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aceasta</w:t>
      </w:r>
      <w:proofErr w:type="spellEnd"/>
      <w:proofErr w:type="gram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este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„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locuința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comună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a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soților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sau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în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lipsă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locuința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soțului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la care se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află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copiii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.</w:t>
      </w:r>
      <w:r>
        <w:rPr>
          <w:rStyle w:val="Strong"/>
          <w:rFonts w:ascii="Nunito Sans" w:hAnsi="Nunito Sans"/>
          <w:i/>
          <w:iCs/>
          <w:color w:val="232323"/>
          <w:sz w:val="30"/>
          <w:szCs w:val="30"/>
          <w:bdr w:val="none" w:sz="0" w:space="0" w:color="auto" w:frame="1"/>
        </w:rPr>
        <w:t>”</w:t>
      </w:r>
    </w:p>
    <w:p w:rsidR="005837F2" w:rsidRDefault="005837F2" w:rsidP="005837F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Nunito Sans" w:hAnsi="Nunito Sans"/>
          <w:color w:val="232323"/>
          <w:sz w:val="27"/>
          <w:szCs w:val="27"/>
        </w:rPr>
      </w:pP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În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context,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reține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atenția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și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faptul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că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potrivit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prevederilor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alin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(2) al art. 321: </w:t>
      </w:r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bdr w:val="none" w:sz="0" w:space="0" w:color="auto" w:frame="1"/>
        </w:rPr>
        <w:t>„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Oricare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dintre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soți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poate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cere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notarea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în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cartea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funciară</w:t>
      </w:r>
      <w:proofErr w:type="spellEnd"/>
      <w:r>
        <w:rPr>
          <w:rStyle w:val="Emphasis"/>
          <w:rFonts w:ascii="Nunito Sans" w:hAnsi="Nunito Sans"/>
          <w:b/>
          <w:bCs/>
          <w:color w:val="232323"/>
          <w:sz w:val="30"/>
          <w:szCs w:val="30"/>
          <w:u w:val="single"/>
          <w:bdr w:val="none" w:sz="0" w:space="0" w:color="auto" w:frame="1"/>
        </w:rPr>
        <w:t>,</w:t>
      </w:r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 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în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condițiile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legii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, a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unui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imobil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ca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locuință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a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familiei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chiar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dacă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nu </w:t>
      </w:r>
      <w:proofErr w:type="spellStart"/>
      <w:proofErr w:type="gram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este</w:t>
      </w:r>
      <w:proofErr w:type="spellEnd"/>
      <w:proofErr w:type="gram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proprietarul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imobilului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.</w:t>
      </w:r>
      <w:r>
        <w:rPr>
          <w:rStyle w:val="Strong"/>
          <w:rFonts w:ascii="Nunito Sans" w:hAnsi="Nunito Sans"/>
          <w:i/>
          <w:iCs/>
          <w:color w:val="232323"/>
          <w:sz w:val="30"/>
          <w:szCs w:val="30"/>
          <w:bdr w:val="none" w:sz="0" w:space="0" w:color="auto" w:frame="1"/>
        </w:rPr>
        <w:t>”</w:t>
      </w:r>
    </w:p>
    <w:p w:rsidR="005837F2" w:rsidRDefault="005837F2" w:rsidP="005837F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Nunito Sans" w:hAnsi="Nunito Sans"/>
          <w:color w:val="232323"/>
          <w:sz w:val="27"/>
          <w:szCs w:val="27"/>
        </w:rPr>
      </w:pPr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Art. 322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alin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. (1) </w:t>
      </w:r>
      <w:proofErr w:type="gram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din</w:t>
      </w:r>
      <w:proofErr w:type="gram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același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act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normativ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stabilește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că</w:t>
      </w:r>
      <w:proofErr w:type="spellEnd"/>
      <w:r>
        <w:rPr>
          <w:rFonts w:ascii="Nunito Sans" w:hAnsi="Nunito Sans"/>
          <w:color w:val="232323"/>
          <w:sz w:val="30"/>
          <w:szCs w:val="30"/>
          <w:bdr w:val="none" w:sz="0" w:space="0" w:color="auto" w:frame="1"/>
        </w:rPr>
        <w:t> </w:t>
      </w:r>
      <w:r>
        <w:rPr>
          <w:rStyle w:val="Emphasis"/>
          <w:rFonts w:ascii="Nunito Sans" w:hAnsi="Nunito Sans"/>
          <w:color w:val="232323"/>
          <w:sz w:val="30"/>
          <w:szCs w:val="30"/>
          <w:bdr w:val="none" w:sz="0" w:space="0" w:color="auto" w:frame="1"/>
        </w:rPr>
        <w:t>„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Fără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consimțământul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scris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al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celuilalt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soț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niciunul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dintre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soți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,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chiar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dacă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este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proprietar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exclusiv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, nu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poate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dispune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de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drepturile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asupra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locuinței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familiei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și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nici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nu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poate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încheia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acte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prin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care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ar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fi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afectată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folosința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Nunito Sans" w:hAnsi="Nunito Sans"/>
          <w:color w:val="232323"/>
          <w:sz w:val="30"/>
          <w:szCs w:val="30"/>
          <w:u w:val="single"/>
          <w:bdr w:val="none" w:sz="0" w:space="0" w:color="auto" w:frame="1"/>
        </w:rPr>
        <w:t>acesteia</w:t>
      </w:r>
      <w:proofErr w:type="spellEnd"/>
      <w:r>
        <w:rPr>
          <w:rStyle w:val="Emphasis"/>
          <w:rFonts w:ascii="Nunito Sans" w:hAnsi="Nunito Sans"/>
          <w:color w:val="232323"/>
          <w:sz w:val="30"/>
          <w:szCs w:val="30"/>
          <w:bdr w:val="none" w:sz="0" w:space="0" w:color="auto" w:frame="1"/>
        </w:rPr>
        <w:t>”.</w:t>
      </w:r>
      <w:bookmarkStart w:id="0" w:name="_GoBack"/>
      <w:bookmarkEnd w:id="0"/>
    </w:p>
    <w:sectPr w:rsidR="00583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A"/>
    <w:rsid w:val="005837F2"/>
    <w:rsid w:val="00DC27C4"/>
    <w:rsid w:val="00E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48DCF-915C-4EC1-B233-5EAD59E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7F2"/>
    <w:rPr>
      <w:b/>
      <w:bCs/>
    </w:rPr>
  </w:style>
  <w:style w:type="character" w:styleId="Emphasis">
    <w:name w:val="Emphasis"/>
    <w:basedOn w:val="DefaultParagraphFont"/>
    <w:uiPriority w:val="20"/>
    <w:qFormat/>
    <w:rsid w:val="00583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2022-10-14T10:10:00Z</dcterms:created>
  <dcterms:modified xsi:type="dcterms:W3CDTF">2022-10-14T10:10:00Z</dcterms:modified>
</cp:coreProperties>
</file>